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35" w:rsidRDefault="00257B35" w:rsidP="00D03772">
      <w:pPr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F06845" w:rsidRPr="00FF139B" w:rsidRDefault="003C38B3" w:rsidP="00D037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0pt;margin-top:-1in;width:611.25pt;height:147.6pt;z-index:251657728;mso-width-relative:margin;mso-height-relative:margin" stroked="f">
            <v:textbox style="mso-fit-shape-to-text:t">
              <w:txbxContent>
                <w:p w:rsidR="007A3AD5" w:rsidRDefault="007A3AD5">
                  <w:r>
                    <w:rPr>
                      <w:noProof/>
                    </w:rPr>
                    <w:drawing>
                      <wp:inline distT="0" distB="0" distL="0" distR="0">
                        <wp:extent cx="7581900" cy="1781175"/>
                        <wp:effectExtent l="19050" t="0" r="0" b="0"/>
                        <wp:docPr id="1" name="Picture 1" descr="Letterhead_Pri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tterhead_Pri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19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06845" w:rsidRPr="00FF139B">
        <w:rPr>
          <w:rFonts w:ascii="Times New Roman" w:hAnsi="Times New Roman"/>
          <w:b/>
          <w:spacing w:val="60"/>
          <w:sz w:val="24"/>
          <w:szCs w:val="24"/>
        </w:rPr>
        <w:t>MEMORANDUM</w:t>
      </w:r>
    </w:p>
    <w:p w:rsidR="00F06845" w:rsidRPr="00FF139B" w:rsidRDefault="00F06845" w:rsidP="00D03772">
      <w:pPr>
        <w:rPr>
          <w:rFonts w:ascii="Times New Roman" w:hAnsi="Times New Roman"/>
          <w:b/>
          <w:spacing w:val="40"/>
          <w:sz w:val="24"/>
          <w:szCs w:val="24"/>
        </w:rPr>
      </w:pPr>
    </w:p>
    <w:p w:rsidR="00F64B31" w:rsidRPr="00FF139B" w:rsidRDefault="00F06845" w:rsidP="00933D07">
      <w:pPr>
        <w:rPr>
          <w:rFonts w:ascii="Times New Roman" w:hAnsi="Times New Roman"/>
          <w:b/>
          <w:color w:val="FF0000"/>
          <w:sz w:val="24"/>
          <w:szCs w:val="24"/>
        </w:rPr>
      </w:pPr>
      <w:r w:rsidRPr="00FF139B">
        <w:rPr>
          <w:rFonts w:ascii="Times New Roman" w:hAnsi="Times New Roman"/>
          <w:b/>
          <w:sz w:val="24"/>
          <w:szCs w:val="24"/>
        </w:rPr>
        <w:t>TO:</w:t>
      </w:r>
      <w:r w:rsidRPr="00FF139B">
        <w:rPr>
          <w:rFonts w:ascii="Times New Roman" w:hAnsi="Times New Roman"/>
          <w:b/>
          <w:sz w:val="24"/>
          <w:szCs w:val="24"/>
        </w:rPr>
        <w:tab/>
      </w:r>
      <w:r w:rsidR="00CE38AA">
        <w:rPr>
          <w:rFonts w:ascii="Times New Roman" w:hAnsi="Times New Roman"/>
          <w:b/>
          <w:sz w:val="24"/>
          <w:szCs w:val="24"/>
        </w:rPr>
        <w:tab/>
      </w:r>
      <w:r w:rsidR="00CE38AA" w:rsidRPr="00CE38AA">
        <w:rPr>
          <w:rFonts w:ascii="Times New Roman" w:hAnsi="Times New Roman"/>
          <w:sz w:val="24"/>
          <w:szCs w:val="24"/>
        </w:rPr>
        <w:t>Board of Higher Education</w:t>
      </w:r>
      <w:r w:rsidRPr="00CE38AA">
        <w:rPr>
          <w:rFonts w:ascii="Times New Roman" w:hAnsi="Times New Roman"/>
          <w:sz w:val="24"/>
          <w:szCs w:val="24"/>
        </w:rPr>
        <w:tab/>
      </w:r>
    </w:p>
    <w:p w:rsidR="00F06845" w:rsidRPr="00FF139B" w:rsidRDefault="00F06845" w:rsidP="00F06845">
      <w:pPr>
        <w:rPr>
          <w:rFonts w:ascii="Times New Roman" w:hAnsi="Times New Roman"/>
          <w:b/>
          <w:sz w:val="24"/>
          <w:szCs w:val="24"/>
        </w:rPr>
      </w:pPr>
      <w:r w:rsidRPr="00FF139B">
        <w:rPr>
          <w:rFonts w:ascii="Times New Roman" w:hAnsi="Times New Roman"/>
          <w:b/>
          <w:sz w:val="24"/>
          <w:szCs w:val="24"/>
        </w:rPr>
        <w:br/>
        <w:t>FROM:</w:t>
      </w:r>
      <w:r w:rsidRPr="00FF139B">
        <w:rPr>
          <w:rFonts w:ascii="Times New Roman" w:hAnsi="Times New Roman"/>
          <w:b/>
          <w:sz w:val="24"/>
          <w:szCs w:val="24"/>
        </w:rPr>
        <w:tab/>
      </w:r>
      <w:r w:rsidR="00CE38AA" w:rsidRPr="00CE38AA">
        <w:rPr>
          <w:rFonts w:ascii="Times New Roman" w:hAnsi="Times New Roman"/>
          <w:sz w:val="24"/>
          <w:szCs w:val="24"/>
        </w:rPr>
        <w:t>Richard M. Freeland, Commissioner</w:t>
      </w:r>
    </w:p>
    <w:p w:rsidR="00F06845" w:rsidRPr="00FF139B" w:rsidRDefault="00F06845" w:rsidP="00F06845">
      <w:pPr>
        <w:rPr>
          <w:rFonts w:ascii="Times New Roman" w:hAnsi="Times New Roman"/>
          <w:b/>
          <w:sz w:val="24"/>
          <w:szCs w:val="24"/>
        </w:rPr>
      </w:pPr>
    </w:p>
    <w:p w:rsidR="00B4761B" w:rsidRPr="00FF139B" w:rsidRDefault="00F06845" w:rsidP="00F06845">
      <w:pPr>
        <w:rPr>
          <w:rFonts w:ascii="Times New Roman" w:hAnsi="Times New Roman"/>
          <w:sz w:val="24"/>
          <w:szCs w:val="24"/>
        </w:rPr>
      </w:pPr>
      <w:r w:rsidRPr="00FF139B">
        <w:rPr>
          <w:rFonts w:ascii="Times New Roman" w:hAnsi="Times New Roman"/>
          <w:b/>
          <w:sz w:val="24"/>
          <w:szCs w:val="24"/>
        </w:rPr>
        <w:t>DATE:</w:t>
      </w:r>
      <w:r w:rsidRPr="00FF139B">
        <w:rPr>
          <w:rFonts w:ascii="Times New Roman" w:hAnsi="Times New Roman"/>
          <w:b/>
          <w:sz w:val="24"/>
          <w:szCs w:val="24"/>
        </w:rPr>
        <w:tab/>
      </w:r>
      <w:r w:rsidR="00FE4DB4">
        <w:rPr>
          <w:rFonts w:ascii="Times New Roman" w:hAnsi="Times New Roman"/>
          <w:sz w:val="24"/>
          <w:szCs w:val="24"/>
        </w:rPr>
        <w:t>June 30,</w:t>
      </w:r>
      <w:r w:rsidR="00C10051">
        <w:rPr>
          <w:rFonts w:ascii="Times New Roman" w:hAnsi="Times New Roman"/>
          <w:sz w:val="24"/>
          <w:szCs w:val="24"/>
        </w:rPr>
        <w:t xml:space="preserve"> 201</w:t>
      </w:r>
      <w:r w:rsidR="00FE4DB4">
        <w:rPr>
          <w:rFonts w:ascii="Times New Roman" w:hAnsi="Times New Roman"/>
          <w:sz w:val="24"/>
          <w:szCs w:val="24"/>
        </w:rPr>
        <w:t>4</w:t>
      </w:r>
      <w:r w:rsidR="00C10051">
        <w:rPr>
          <w:rFonts w:ascii="Times New Roman" w:hAnsi="Times New Roman"/>
          <w:sz w:val="24"/>
          <w:szCs w:val="24"/>
        </w:rPr>
        <w:t xml:space="preserve"> </w:t>
      </w:r>
    </w:p>
    <w:p w:rsidR="00F06845" w:rsidRPr="00FF139B" w:rsidRDefault="00F06845" w:rsidP="00F06845">
      <w:pPr>
        <w:rPr>
          <w:rFonts w:ascii="Times New Roman" w:hAnsi="Times New Roman"/>
          <w:b/>
          <w:sz w:val="24"/>
          <w:szCs w:val="24"/>
        </w:rPr>
      </w:pPr>
    </w:p>
    <w:p w:rsidR="00F06845" w:rsidRPr="00FF139B" w:rsidRDefault="00F06845" w:rsidP="00F0684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F139B">
        <w:rPr>
          <w:rFonts w:ascii="Times New Roman" w:hAnsi="Times New Roman"/>
          <w:b/>
          <w:sz w:val="24"/>
          <w:szCs w:val="24"/>
        </w:rPr>
        <w:t>SUBJECT:</w:t>
      </w:r>
      <w:r w:rsidRPr="00FF139B">
        <w:rPr>
          <w:rFonts w:ascii="Times New Roman" w:hAnsi="Times New Roman"/>
          <w:b/>
          <w:sz w:val="24"/>
          <w:szCs w:val="24"/>
        </w:rPr>
        <w:tab/>
      </w:r>
      <w:r w:rsidR="00C10051">
        <w:rPr>
          <w:rFonts w:ascii="Times New Roman" w:hAnsi="Times New Roman"/>
          <w:sz w:val="24"/>
          <w:szCs w:val="24"/>
        </w:rPr>
        <w:t>FY1</w:t>
      </w:r>
      <w:r w:rsidR="00FE4DB4">
        <w:rPr>
          <w:rFonts w:ascii="Times New Roman" w:hAnsi="Times New Roman"/>
          <w:sz w:val="24"/>
          <w:szCs w:val="24"/>
        </w:rPr>
        <w:t>5</w:t>
      </w:r>
      <w:r w:rsidR="00C10051">
        <w:rPr>
          <w:rFonts w:ascii="Times New Roman" w:hAnsi="Times New Roman"/>
          <w:sz w:val="24"/>
          <w:szCs w:val="24"/>
        </w:rPr>
        <w:t xml:space="preserve"> Conference Committee </w:t>
      </w:r>
      <w:r w:rsidR="00FE4DB4">
        <w:rPr>
          <w:rFonts w:ascii="Times New Roman" w:hAnsi="Times New Roman"/>
          <w:sz w:val="24"/>
          <w:szCs w:val="24"/>
        </w:rPr>
        <w:t>Budget</w:t>
      </w:r>
      <w:r w:rsidR="00C10051">
        <w:rPr>
          <w:rFonts w:ascii="Times New Roman" w:hAnsi="Times New Roman"/>
          <w:sz w:val="24"/>
          <w:szCs w:val="24"/>
        </w:rPr>
        <w:t xml:space="preserve"> </w:t>
      </w:r>
      <w:r w:rsidRPr="00FF139B">
        <w:rPr>
          <w:rFonts w:ascii="Times New Roman" w:hAnsi="Times New Roman"/>
          <w:sz w:val="24"/>
          <w:szCs w:val="24"/>
        </w:rPr>
        <w:br/>
      </w:r>
    </w:p>
    <w:p w:rsidR="002F3502" w:rsidRPr="00B61C9C" w:rsidRDefault="002F3502" w:rsidP="00FF139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FE4DB4" w:rsidRDefault="005D7D50" w:rsidP="00FE4DB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E4DB4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FE4DB4" w:rsidRPr="00FE4DB4">
        <w:rPr>
          <w:rFonts w:ascii="Times New Roman" w:hAnsi="Times New Roman"/>
          <w:color w:val="000000" w:themeColor="text1"/>
          <w:sz w:val="24"/>
          <w:szCs w:val="24"/>
        </w:rPr>
        <w:t xml:space="preserve">Sunday evening, </w:t>
      </w:r>
      <w:r w:rsidR="00C10051" w:rsidRPr="00FE4DB4">
        <w:rPr>
          <w:rFonts w:ascii="Times New Roman" w:hAnsi="Times New Roman"/>
          <w:color w:val="000000" w:themeColor="text1"/>
          <w:sz w:val="24"/>
          <w:szCs w:val="24"/>
        </w:rPr>
        <w:t>the Conference Committee re</w:t>
      </w:r>
      <w:r w:rsidR="00FE4DB4">
        <w:rPr>
          <w:rFonts w:ascii="Times New Roman" w:hAnsi="Times New Roman"/>
          <w:color w:val="000000" w:themeColor="text1"/>
          <w:sz w:val="24"/>
          <w:szCs w:val="24"/>
        </w:rPr>
        <w:t xml:space="preserve">leased their </w:t>
      </w:r>
      <w:r w:rsidR="00FE4DB4" w:rsidRPr="00FE4DB4">
        <w:rPr>
          <w:rFonts w:ascii="Times New Roman" w:hAnsi="Times New Roman"/>
          <w:color w:val="000000" w:themeColor="text1"/>
          <w:sz w:val="24"/>
          <w:szCs w:val="24"/>
        </w:rPr>
        <w:t xml:space="preserve">budget </w:t>
      </w:r>
      <w:r w:rsidR="00FE4DB4">
        <w:rPr>
          <w:rFonts w:ascii="Times New Roman" w:hAnsi="Times New Roman"/>
          <w:color w:val="000000" w:themeColor="text1"/>
          <w:sz w:val="24"/>
          <w:szCs w:val="24"/>
        </w:rPr>
        <w:t>for the upcoming 2015 fiscal year</w:t>
      </w:r>
      <w:r w:rsidR="00FE4DB4" w:rsidRPr="00FE4DB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E4DB4">
        <w:rPr>
          <w:rFonts w:ascii="Times New Roman" w:hAnsi="Times New Roman"/>
          <w:color w:val="000000" w:themeColor="text1"/>
          <w:sz w:val="24"/>
          <w:szCs w:val="24"/>
        </w:rPr>
        <w:t xml:space="preserve"> In general, </w:t>
      </w:r>
      <w:r w:rsidR="00FE4DB4" w:rsidRPr="00FE4DB4">
        <w:rPr>
          <w:rFonts w:ascii="Times New Roman" w:hAnsi="Times New Roman"/>
          <w:color w:val="000000" w:themeColor="text1"/>
          <w:sz w:val="24"/>
          <w:szCs w:val="24"/>
        </w:rPr>
        <w:t xml:space="preserve">the outcomes </w:t>
      </w:r>
      <w:r w:rsidR="00FE4DB4">
        <w:rPr>
          <w:rFonts w:ascii="Times New Roman" w:hAnsi="Times New Roman"/>
          <w:color w:val="000000" w:themeColor="text1"/>
          <w:sz w:val="24"/>
          <w:szCs w:val="24"/>
        </w:rPr>
        <w:t xml:space="preserve">of the reconciliation process between the House and Senate budgets </w:t>
      </w:r>
      <w:r w:rsidR="00FE4DB4" w:rsidRPr="00FE4DB4">
        <w:rPr>
          <w:rFonts w:ascii="Times New Roman" w:hAnsi="Times New Roman"/>
          <w:color w:val="000000" w:themeColor="text1"/>
          <w:sz w:val="24"/>
          <w:szCs w:val="24"/>
        </w:rPr>
        <w:t xml:space="preserve">reflect the higher </w:t>
      </w:r>
      <w:r w:rsidR="009965D7">
        <w:rPr>
          <w:rFonts w:ascii="Times New Roman" w:hAnsi="Times New Roman"/>
          <w:color w:val="000000" w:themeColor="text1"/>
          <w:sz w:val="24"/>
          <w:szCs w:val="24"/>
        </w:rPr>
        <w:t xml:space="preserve">funding scenario </w:t>
      </w:r>
      <w:r w:rsidR="00FE4DB4"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="00FE4DB4" w:rsidRPr="00FE4DB4">
        <w:rPr>
          <w:rFonts w:ascii="Times New Roman" w:hAnsi="Times New Roman"/>
          <w:color w:val="000000" w:themeColor="text1"/>
          <w:sz w:val="24"/>
          <w:szCs w:val="24"/>
        </w:rPr>
        <w:t>the two</w:t>
      </w:r>
      <w:r w:rsidR="00FC0B17">
        <w:rPr>
          <w:rFonts w:ascii="Times New Roman" w:hAnsi="Times New Roman"/>
          <w:color w:val="000000" w:themeColor="text1"/>
          <w:sz w:val="24"/>
          <w:szCs w:val="24"/>
        </w:rPr>
        <w:t xml:space="preserve"> legislative bodies</w:t>
      </w:r>
      <w:r w:rsidR="00FE4DB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E4DB4" w:rsidRPr="00FE4DB4">
        <w:rPr>
          <w:rFonts w:ascii="Times New Roman" w:hAnsi="Times New Roman"/>
          <w:color w:val="000000" w:themeColor="text1"/>
          <w:sz w:val="24"/>
          <w:szCs w:val="24"/>
        </w:rPr>
        <w:t>most of w</w:t>
      </w:r>
      <w:r w:rsidR="000B4657">
        <w:rPr>
          <w:rFonts w:ascii="Times New Roman" w:hAnsi="Times New Roman"/>
          <w:color w:val="000000" w:themeColor="text1"/>
          <w:sz w:val="24"/>
          <w:szCs w:val="24"/>
        </w:rPr>
        <w:t xml:space="preserve">hich originated in the House. </w:t>
      </w:r>
    </w:p>
    <w:p w:rsidR="00FE4DB4" w:rsidRDefault="00FE4DB4" w:rsidP="00FF139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2244F1" w:rsidRDefault="00FE4DB4" w:rsidP="00FF139B">
      <w:pPr>
        <w:pStyle w:val="Default"/>
        <w:rPr>
          <w:rFonts w:ascii="Times New Roman" w:hAnsi="Times New Roman" w:cs="Times New Roman"/>
        </w:rPr>
      </w:pPr>
      <w:r w:rsidRPr="008D17DD">
        <w:rPr>
          <w:rFonts w:ascii="Times New Roman" w:hAnsi="Times New Roman" w:cs="Times New Roman"/>
          <w:color w:val="000000" w:themeColor="text1"/>
        </w:rPr>
        <w:t>Overall, the</w:t>
      </w:r>
      <w:r w:rsidR="00C10051" w:rsidRPr="008D17DD">
        <w:rPr>
          <w:rFonts w:ascii="Times New Roman" w:hAnsi="Times New Roman" w:cs="Times New Roman"/>
          <w:color w:val="000000" w:themeColor="text1"/>
        </w:rPr>
        <w:t xml:space="preserve"> </w:t>
      </w:r>
      <w:r w:rsidR="00FB5E43" w:rsidRPr="008D17DD">
        <w:rPr>
          <w:rFonts w:ascii="Times New Roman" w:hAnsi="Times New Roman" w:cs="Times New Roman"/>
          <w:color w:val="000000" w:themeColor="text1"/>
        </w:rPr>
        <w:t>FY1</w:t>
      </w:r>
      <w:r w:rsidRPr="008D17DD">
        <w:rPr>
          <w:rFonts w:ascii="Times New Roman" w:hAnsi="Times New Roman" w:cs="Times New Roman"/>
          <w:color w:val="000000" w:themeColor="text1"/>
        </w:rPr>
        <w:t>5</w:t>
      </w:r>
      <w:r w:rsidR="00FB5E43" w:rsidRPr="008D17DD">
        <w:rPr>
          <w:rFonts w:ascii="Times New Roman" w:hAnsi="Times New Roman" w:cs="Times New Roman"/>
          <w:color w:val="000000" w:themeColor="text1"/>
        </w:rPr>
        <w:t xml:space="preserve"> conference budget </w:t>
      </w:r>
      <w:r w:rsidR="00C10051" w:rsidRPr="008D17DD">
        <w:rPr>
          <w:rFonts w:ascii="Times New Roman" w:hAnsi="Times New Roman" w:cs="Times New Roman"/>
          <w:color w:val="000000" w:themeColor="text1"/>
        </w:rPr>
        <w:t xml:space="preserve">provides </w:t>
      </w:r>
      <w:r w:rsidR="000B4657" w:rsidRPr="008D17DD">
        <w:rPr>
          <w:rFonts w:ascii="Times New Roman" w:hAnsi="Times New Roman" w:cs="Times New Roman"/>
          <w:color w:val="000000" w:themeColor="text1"/>
        </w:rPr>
        <w:t>$</w:t>
      </w:r>
      <w:r w:rsidR="008D17DD">
        <w:rPr>
          <w:rFonts w:ascii="Times New Roman" w:hAnsi="Times New Roman" w:cs="Times New Roman"/>
          <w:color w:val="000000" w:themeColor="text1"/>
        </w:rPr>
        <w:t>32.5</w:t>
      </w:r>
      <w:r w:rsidR="008D17DD" w:rsidRPr="008D17DD">
        <w:rPr>
          <w:rFonts w:ascii="Times New Roman" w:hAnsi="Times New Roman" w:cs="Times New Roman"/>
          <w:color w:val="000000" w:themeColor="text1"/>
        </w:rPr>
        <w:t xml:space="preserve"> </w:t>
      </w:r>
      <w:r w:rsidR="005D7D50" w:rsidRPr="008D17DD">
        <w:rPr>
          <w:rFonts w:ascii="Times New Roman" w:hAnsi="Times New Roman" w:cs="Times New Roman"/>
          <w:color w:val="000000" w:themeColor="text1"/>
        </w:rPr>
        <w:t>million above FY1</w:t>
      </w:r>
      <w:r w:rsidRPr="008D17DD">
        <w:rPr>
          <w:rFonts w:ascii="Times New Roman" w:hAnsi="Times New Roman" w:cs="Times New Roman"/>
          <w:color w:val="000000" w:themeColor="text1"/>
        </w:rPr>
        <w:t>4</w:t>
      </w:r>
      <w:r w:rsidR="000B4657" w:rsidRPr="008D17DD">
        <w:rPr>
          <w:rFonts w:ascii="Times New Roman" w:hAnsi="Times New Roman" w:cs="Times New Roman"/>
          <w:color w:val="000000" w:themeColor="text1"/>
        </w:rPr>
        <w:t xml:space="preserve">, an increase of </w:t>
      </w:r>
      <w:r w:rsidR="008D17DD" w:rsidRPr="008D17DD">
        <w:rPr>
          <w:rFonts w:ascii="Times New Roman" w:hAnsi="Times New Roman" w:cs="Times New Roman"/>
          <w:color w:val="000000" w:themeColor="text1"/>
        </w:rPr>
        <w:t>5.4</w:t>
      </w:r>
      <w:r w:rsidR="00EE309D">
        <w:rPr>
          <w:rFonts w:ascii="Times New Roman" w:hAnsi="Times New Roman" w:cs="Times New Roman"/>
          <w:color w:val="000000" w:themeColor="text1"/>
        </w:rPr>
        <w:t>%</w:t>
      </w:r>
      <w:r w:rsidR="000B4657" w:rsidRPr="008D17DD">
        <w:rPr>
          <w:rFonts w:ascii="Times New Roman" w:hAnsi="Times New Roman" w:cs="Times New Roman"/>
          <w:color w:val="000000" w:themeColor="text1"/>
        </w:rPr>
        <w:t xml:space="preserve"> </w:t>
      </w:r>
      <w:r w:rsidR="00C10051" w:rsidRPr="008D17DD">
        <w:rPr>
          <w:rFonts w:ascii="Times New Roman" w:hAnsi="Times New Roman" w:cs="Times New Roman"/>
          <w:color w:val="000000" w:themeColor="text1"/>
        </w:rPr>
        <w:t>for the ongoing operations</w:t>
      </w:r>
      <w:r w:rsidR="005D7D50" w:rsidRPr="008D17DD">
        <w:rPr>
          <w:rFonts w:ascii="Times New Roman" w:hAnsi="Times New Roman" w:cs="Times New Roman"/>
          <w:color w:val="000000" w:themeColor="text1"/>
        </w:rPr>
        <w:t>,</w:t>
      </w:r>
      <w:r w:rsidR="008068D1" w:rsidRPr="008D17DD">
        <w:rPr>
          <w:rFonts w:ascii="Times New Roman" w:hAnsi="Times New Roman" w:cs="Times New Roman"/>
          <w:color w:val="000000" w:themeColor="text1"/>
        </w:rPr>
        <w:t xml:space="preserve"> programs</w:t>
      </w:r>
      <w:r w:rsidR="005D7D50" w:rsidRPr="008D17DD">
        <w:rPr>
          <w:rFonts w:ascii="Times New Roman" w:hAnsi="Times New Roman" w:cs="Times New Roman"/>
          <w:color w:val="000000" w:themeColor="text1"/>
        </w:rPr>
        <w:t>, and initiatives</w:t>
      </w:r>
      <w:r w:rsidR="008068D1" w:rsidRPr="008D17DD">
        <w:rPr>
          <w:rFonts w:ascii="Times New Roman" w:hAnsi="Times New Roman" w:cs="Times New Roman"/>
          <w:color w:val="000000" w:themeColor="text1"/>
        </w:rPr>
        <w:t xml:space="preserve"> </w:t>
      </w:r>
      <w:r w:rsidR="00C10051" w:rsidRPr="008D17DD">
        <w:rPr>
          <w:rFonts w:ascii="Times New Roman" w:hAnsi="Times New Roman" w:cs="Times New Roman"/>
          <w:color w:val="000000" w:themeColor="text1"/>
        </w:rPr>
        <w:t>of the Department</w:t>
      </w:r>
      <w:r w:rsidR="008068D1" w:rsidRPr="008D17DD">
        <w:rPr>
          <w:rFonts w:ascii="Times New Roman" w:hAnsi="Times New Roman" w:cs="Times New Roman"/>
          <w:color w:val="000000" w:themeColor="text1"/>
        </w:rPr>
        <w:t xml:space="preserve"> of Higher Education</w:t>
      </w:r>
      <w:r w:rsidR="00C10051" w:rsidRPr="008D17DD">
        <w:rPr>
          <w:rFonts w:ascii="Times New Roman" w:hAnsi="Times New Roman" w:cs="Times New Roman"/>
          <w:color w:val="000000" w:themeColor="text1"/>
        </w:rPr>
        <w:t>,</w:t>
      </w:r>
      <w:r w:rsidR="00FC0B17" w:rsidRPr="008D17DD">
        <w:rPr>
          <w:rFonts w:ascii="Times New Roman" w:hAnsi="Times New Roman" w:cs="Times New Roman"/>
          <w:color w:val="000000" w:themeColor="text1"/>
        </w:rPr>
        <w:t xml:space="preserve"> the</w:t>
      </w:r>
      <w:r w:rsidR="00C10051" w:rsidRPr="008D17DD">
        <w:rPr>
          <w:rFonts w:ascii="Times New Roman" w:hAnsi="Times New Roman" w:cs="Times New Roman"/>
          <w:color w:val="000000" w:themeColor="text1"/>
        </w:rPr>
        <w:t xml:space="preserve"> Community Colleges</w:t>
      </w:r>
      <w:r w:rsidR="00351A65" w:rsidRPr="008D17DD">
        <w:rPr>
          <w:rFonts w:ascii="Times New Roman" w:hAnsi="Times New Roman" w:cs="Times New Roman"/>
          <w:color w:val="000000" w:themeColor="text1"/>
        </w:rPr>
        <w:t xml:space="preserve">, and </w:t>
      </w:r>
      <w:r w:rsidR="00FC0B17" w:rsidRPr="008D17DD">
        <w:rPr>
          <w:rFonts w:ascii="Times New Roman" w:hAnsi="Times New Roman" w:cs="Times New Roman"/>
          <w:color w:val="000000" w:themeColor="text1"/>
        </w:rPr>
        <w:t xml:space="preserve">the </w:t>
      </w:r>
      <w:r w:rsidR="00351A65" w:rsidRPr="008D17DD">
        <w:rPr>
          <w:rFonts w:ascii="Times New Roman" w:hAnsi="Times New Roman" w:cs="Times New Roman"/>
          <w:color w:val="000000" w:themeColor="text1"/>
        </w:rPr>
        <w:t>State Universities</w:t>
      </w:r>
      <w:r w:rsidR="005D7D50" w:rsidRPr="008D17DD">
        <w:rPr>
          <w:rFonts w:ascii="Times New Roman" w:hAnsi="Times New Roman" w:cs="Times New Roman"/>
          <w:color w:val="000000" w:themeColor="text1"/>
        </w:rPr>
        <w:t xml:space="preserve">. </w:t>
      </w:r>
      <w:r w:rsidR="007708F3" w:rsidRPr="008D17DD">
        <w:rPr>
          <w:rFonts w:ascii="Times New Roman" w:hAnsi="Times New Roman" w:cs="Times New Roman"/>
          <w:color w:val="000000" w:themeColor="text1"/>
        </w:rPr>
        <w:t xml:space="preserve"> While not in </w:t>
      </w:r>
      <w:r w:rsidRPr="008D17DD">
        <w:rPr>
          <w:rFonts w:ascii="Times New Roman" w:hAnsi="Times New Roman" w:cs="Times New Roman"/>
          <w:color w:val="000000" w:themeColor="text1"/>
        </w:rPr>
        <w:t>scale with the funding</w:t>
      </w:r>
      <w:r w:rsidR="007708F3" w:rsidRPr="008D17DD">
        <w:rPr>
          <w:rFonts w:ascii="Times New Roman" w:hAnsi="Times New Roman" w:cs="Times New Roman"/>
          <w:color w:val="000000" w:themeColor="text1"/>
        </w:rPr>
        <w:t xml:space="preserve"> increase realized for FY14, the conference budget </w:t>
      </w:r>
      <w:r w:rsidRPr="008D17DD">
        <w:rPr>
          <w:rFonts w:ascii="Times New Roman" w:hAnsi="Times New Roman" w:cs="Times New Roman"/>
          <w:color w:val="000000" w:themeColor="text1"/>
        </w:rPr>
        <w:t xml:space="preserve">is still a considerable investment for public higher education.  In fact, the </w:t>
      </w:r>
      <w:r w:rsidR="000B4657" w:rsidRPr="008D17DD">
        <w:rPr>
          <w:rFonts w:ascii="Times New Roman" w:hAnsi="Times New Roman" w:cs="Times New Roman"/>
          <w:color w:val="000000" w:themeColor="text1"/>
        </w:rPr>
        <w:t xml:space="preserve">cumulative increase of approximately </w:t>
      </w:r>
      <w:r w:rsidR="008D17DD">
        <w:rPr>
          <w:rFonts w:ascii="Times New Roman" w:hAnsi="Times New Roman" w:cs="Times New Roman"/>
          <w:color w:val="000000" w:themeColor="text1"/>
        </w:rPr>
        <w:t>10</w:t>
      </w:r>
      <w:r w:rsidR="00B46DA8" w:rsidRPr="008D17DD">
        <w:rPr>
          <w:rFonts w:ascii="Times New Roman" w:hAnsi="Times New Roman" w:cs="Times New Roman"/>
          <w:color w:val="000000" w:themeColor="text1"/>
        </w:rPr>
        <w:t>%</w:t>
      </w:r>
      <w:r w:rsidR="000B4657" w:rsidRPr="008D17DD">
        <w:rPr>
          <w:rFonts w:ascii="Times New Roman" w:hAnsi="Times New Roman" w:cs="Times New Roman"/>
          <w:color w:val="000000" w:themeColor="text1"/>
        </w:rPr>
        <w:t xml:space="preserve"> since FY13 reflects a two-year funding arc that has not been </w:t>
      </w:r>
      <w:r w:rsidR="006E5994" w:rsidRPr="008D17DD">
        <w:rPr>
          <w:rFonts w:ascii="Times New Roman" w:hAnsi="Times New Roman" w:cs="Times New Roman"/>
          <w:color w:val="000000" w:themeColor="text1"/>
        </w:rPr>
        <w:t>achieved</w:t>
      </w:r>
      <w:r w:rsidR="000B4657" w:rsidRPr="008D17DD">
        <w:rPr>
          <w:rFonts w:ascii="Times New Roman" w:hAnsi="Times New Roman" w:cs="Times New Roman"/>
          <w:color w:val="000000" w:themeColor="text1"/>
        </w:rPr>
        <w:t xml:space="preserve"> in recent </w:t>
      </w:r>
      <w:r w:rsidR="006E5994" w:rsidRPr="008D17DD">
        <w:rPr>
          <w:rFonts w:ascii="Times New Roman" w:hAnsi="Times New Roman" w:cs="Times New Roman"/>
          <w:color w:val="000000" w:themeColor="text1"/>
        </w:rPr>
        <w:t>memory</w:t>
      </w:r>
      <w:r w:rsidR="000B4657" w:rsidRPr="006E5994">
        <w:rPr>
          <w:rFonts w:ascii="Times New Roman" w:hAnsi="Times New Roman" w:cs="Times New Roman"/>
          <w:color w:val="000000" w:themeColor="text1"/>
        </w:rPr>
        <w:t>.</w:t>
      </w:r>
      <w:r w:rsidR="000B4657">
        <w:rPr>
          <w:rFonts w:ascii="Times New Roman" w:hAnsi="Times New Roman" w:cs="Times New Roman"/>
          <w:color w:val="000000" w:themeColor="text1"/>
        </w:rPr>
        <w:t xml:space="preserve"> </w:t>
      </w:r>
    </w:p>
    <w:p w:rsidR="00B61C9C" w:rsidRDefault="00B61C9C" w:rsidP="00C10051">
      <w:pPr>
        <w:pStyle w:val="Default"/>
        <w:rPr>
          <w:rFonts w:ascii="Times New Roman" w:hAnsi="Times New Roman" w:cs="Times New Roman"/>
        </w:rPr>
      </w:pPr>
    </w:p>
    <w:p w:rsidR="00C10051" w:rsidRPr="00C10051" w:rsidRDefault="00CE38AA" w:rsidP="00C1005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Below is a summary of the areas that impact </w:t>
      </w:r>
      <w:r w:rsidR="00722FC1">
        <w:rPr>
          <w:rFonts w:ascii="Times New Roman" w:hAnsi="Times New Roman" w:cs="Times New Roman"/>
        </w:rPr>
        <w:t xml:space="preserve">public </w:t>
      </w:r>
      <w:r>
        <w:rPr>
          <w:rFonts w:ascii="Times New Roman" w:hAnsi="Times New Roman" w:cs="Times New Roman"/>
        </w:rPr>
        <w:t>higher education:</w:t>
      </w:r>
      <w:r w:rsidR="00C10051">
        <w:rPr>
          <w:rFonts w:ascii="Times New Roman" w:hAnsi="Times New Roman"/>
          <w:b/>
        </w:rPr>
        <w:t xml:space="preserve"> </w:t>
      </w:r>
    </w:p>
    <w:p w:rsidR="00E4373F" w:rsidRDefault="00E4373F" w:rsidP="005D3C8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D3C85" w:rsidRPr="005D3C85" w:rsidRDefault="005D3C85" w:rsidP="005D3C8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7F6B39">
        <w:rPr>
          <w:rFonts w:ascii="Times New Roman" w:hAnsi="Times New Roman"/>
          <w:b/>
          <w:sz w:val="24"/>
          <w:szCs w:val="24"/>
        </w:rPr>
        <w:t>HE</w:t>
      </w:r>
      <w:r w:rsidR="00AB525D">
        <w:rPr>
          <w:rFonts w:ascii="Times New Roman" w:hAnsi="Times New Roman"/>
          <w:b/>
          <w:sz w:val="24"/>
          <w:szCs w:val="24"/>
        </w:rPr>
        <w:t xml:space="preserve"> Main Administrative </w:t>
      </w:r>
      <w:r w:rsidRPr="005D3C85">
        <w:rPr>
          <w:rFonts w:ascii="Times New Roman" w:hAnsi="Times New Roman"/>
          <w:b/>
          <w:sz w:val="24"/>
          <w:szCs w:val="24"/>
        </w:rPr>
        <w:t>Account</w:t>
      </w:r>
      <w:r w:rsidR="00901249">
        <w:rPr>
          <w:rFonts w:ascii="Times New Roman" w:hAnsi="Times New Roman"/>
          <w:b/>
          <w:sz w:val="24"/>
          <w:szCs w:val="24"/>
        </w:rPr>
        <w:t>s</w:t>
      </w:r>
    </w:p>
    <w:p w:rsidR="00C87B62" w:rsidRDefault="000601BF" w:rsidP="00383FC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Funding was reduced for t</w:t>
      </w:r>
      <w:r w:rsidR="00C87B62">
        <w:rPr>
          <w:rFonts w:ascii="Times New Roman" w:hAnsi="Times New Roman"/>
          <w:sz w:val="24"/>
          <w:szCs w:val="24"/>
        </w:rPr>
        <w:t xml:space="preserve">he Performance Incentive Fund (PIF) </w:t>
      </w:r>
      <w:r>
        <w:rPr>
          <w:rFonts w:ascii="Times New Roman" w:hAnsi="Times New Roman"/>
          <w:sz w:val="24"/>
          <w:szCs w:val="24"/>
        </w:rPr>
        <w:t xml:space="preserve">by </w:t>
      </w:r>
      <w:r w:rsidR="00266615">
        <w:rPr>
          <w:rFonts w:ascii="Times New Roman" w:hAnsi="Times New Roman"/>
          <w:sz w:val="24"/>
          <w:szCs w:val="24"/>
        </w:rPr>
        <w:t>$4.25 million, down to $3.25 million</w:t>
      </w:r>
      <w:r>
        <w:rPr>
          <w:rFonts w:ascii="Times New Roman" w:hAnsi="Times New Roman"/>
          <w:sz w:val="24"/>
          <w:szCs w:val="24"/>
        </w:rPr>
        <w:t xml:space="preserve"> for FY15</w:t>
      </w:r>
      <w:r w:rsidR="00266615">
        <w:rPr>
          <w:rFonts w:ascii="Times New Roman" w:hAnsi="Times New Roman"/>
          <w:sz w:val="24"/>
          <w:szCs w:val="24"/>
        </w:rPr>
        <w:t xml:space="preserve">.  This reduction will prohibit the DHE from initiating a new round of PIF grants but will still </w:t>
      </w:r>
      <w:r w:rsidR="00FC0B17">
        <w:rPr>
          <w:rFonts w:ascii="Times New Roman" w:hAnsi="Times New Roman"/>
          <w:sz w:val="24"/>
          <w:szCs w:val="24"/>
        </w:rPr>
        <w:t>enable</w:t>
      </w:r>
      <w:r w:rsidR="00266615">
        <w:rPr>
          <w:rFonts w:ascii="Times New Roman" w:hAnsi="Times New Roman"/>
          <w:sz w:val="24"/>
          <w:szCs w:val="24"/>
        </w:rPr>
        <w:t xml:space="preserve"> the Department to fund continuation grants, the common course numbering initiative, and </w:t>
      </w:r>
      <w:r w:rsidR="00FC0B17">
        <w:rPr>
          <w:rFonts w:ascii="Times New Roman" w:hAnsi="Times New Roman"/>
          <w:sz w:val="24"/>
          <w:szCs w:val="24"/>
        </w:rPr>
        <w:t xml:space="preserve">ongoing </w:t>
      </w:r>
      <w:r w:rsidR="00266615">
        <w:rPr>
          <w:rFonts w:ascii="Times New Roman" w:hAnsi="Times New Roman"/>
          <w:sz w:val="24"/>
          <w:szCs w:val="24"/>
        </w:rPr>
        <w:t>collaborat</w:t>
      </w:r>
      <w:r w:rsidR="00722FC1">
        <w:rPr>
          <w:rFonts w:ascii="Times New Roman" w:hAnsi="Times New Roman"/>
          <w:sz w:val="24"/>
          <w:szCs w:val="24"/>
        </w:rPr>
        <w:t>ion and efficiency initiatives across both segments.</w:t>
      </w:r>
    </w:p>
    <w:p w:rsidR="00266615" w:rsidRDefault="00266615" w:rsidP="00383FC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Level-funding for the State University Internship Incentive program at $1</w:t>
      </w:r>
      <w:r w:rsidR="00722FC1">
        <w:rPr>
          <w:rFonts w:ascii="Times New Roman" w:hAnsi="Times New Roman"/>
          <w:sz w:val="24"/>
          <w:szCs w:val="24"/>
        </w:rPr>
        <w:t xml:space="preserve"> million</w:t>
      </w:r>
      <w:r>
        <w:rPr>
          <w:rFonts w:ascii="Times New Roman" w:hAnsi="Times New Roman"/>
          <w:sz w:val="24"/>
          <w:szCs w:val="24"/>
        </w:rPr>
        <w:t>.</w:t>
      </w:r>
    </w:p>
    <w:p w:rsidR="007D0481" w:rsidRDefault="000601BF" w:rsidP="00383FC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Supports an initiative</w:t>
      </w:r>
      <w:r w:rsidR="007D0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Civic Learning with a $250,000 system-wide grant program aligned with the objectives of the Vision Project.</w:t>
      </w:r>
      <w:r w:rsidR="007D0481">
        <w:rPr>
          <w:rFonts w:ascii="Times New Roman" w:hAnsi="Times New Roman"/>
          <w:sz w:val="24"/>
          <w:szCs w:val="24"/>
        </w:rPr>
        <w:t xml:space="preserve"> </w:t>
      </w:r>
    </w:p>
    <w:p w:rsidR="00D6649D" w:rsidRDefault="00D6649D" w:rsidP="00D6649D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5D3C85" w:rsidRPr="00901249" w:rsidRDefault="005D3C85" w:rsidP="005D3C85">
      <w:pPr>
        <w:pStyle w:val="NoSpacing"/>
        <w:rPr>
          <w:rFonts w:ascii="Times New Roman" w:hAnsi="Times New Roman"/>
          <w:b/>
          <w:sz w:val="24"/>
          <w:szCs w:val="24"/>
        </w:rPr>
      </w:pPr>
      <w:r w:rsidRPr="00901249">
        <w:rPr>
          <w:rFonts w:ascii="Times New Roman" w:hAnsi="Times New Roman"/>
          <w:b/>
          <w:sz w:val="24"/>
          <w:szCs w:val="24"/>
        </w:rPr>
        <w:t>Financial Aid</w:t>
      </w:r>
    </w:p>
    <w:p w:rsidR="00F32987" w:rsidRDefault="000601BF" w:rsidP="005D3C85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Increases the Massachusetts State Scholarship program by </w:t>
      </w:r>
      <w:r w:rsidR="00F32987">
        <w:rPr>
          <w:rFonts w:ascii="Times New Roman" w:hAnsi="Times New Roman"/>
          <w:sz w:val="24"/>
          <w:szCs w:val="24"/>
        </w:rPr>
        <w:t>$3</w:t>
      </w:r>
      <w:r w:rsidR="008068D1">
        <w:rPr>
          <w:rFonts w:ascii="Times New Roman" w:hAnsi="Times New Roman"/>
          <w:sz w:val="24"/>
          <w:szCs w:val="24"/>
        </w:rPr>
        <w:t xml:space="preserve"> million</w:t>
      </w:r>
      <w:r>
        <w:rPr>
          <w:rFonts w:ascii="Times New Roman" w:hAnsi="Times New Roman"/>
          <w:sz w:val="24"/>
          <w:szCs w:val="24"/>
        </w:rPr>
        <w:t xml:space="preserve"> over FY14, to a total appropriation of $93.6 million</w:t>
      </w:r>
    </w:p>
    <w:p w:rsidR="00E4373F" w:rsidRDefault="007D0481" w:rsidP="005D3C85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Level-f</w:t>
      </w:r>
      <w:r w:rsidR="000601B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nding </w:t>
      </w:r>
      <w:r w:rsidR="00E4373F">
        <w:rPr>
          <w:rFonts w:ascii="Times New Roman" w:hAnsi="Times New Roman"/>
          <w:sz w:val="24"/>
          <w:szCs w:val="24"/>
        </w:rPr>
        <w:t>for the Commonwealth Dual Enrollment Program</w:t>
      </w:r>
      <w:r>
        <w:rPr>
          <w:rFonts w:ascii="Times New Roman" w:hAnsi="Times New Roman"/>
          <w:sz w:val="24"/>
          <w:szCs w:val="24"/>
        </w:rPr>
        <w:t xml:space="preserve"> at $750,000</w:t>
      </w:r>
      <w:r w:rsidR="00E4373F">
        <w:rPr>
          <w:rFonts w:ascii="Times New Roman" w:hAnsi="Times New Roman"/>
          <w:sz w:val="24"/>
          <w:szCs w:val="24"/>
        </w:rPr>
        <w:t xml:space="preserve"> </w:t>
      </w:r>
    </w:p>
    <w:p w:rsidR="009028F3" w:rsidRDefault="00E4373F" w:rsidP="005D3C85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4373F">
        <w:rPr>
          <w:rFonts w:ascii="Times New Roman" w:hAnsi="Times New Roman"/>
          <w:sz w:val="24"/>
          <w:szCs w:val="24"/>
        </w:rPr>
        <w:lastRenderedPageBreak/>
        <w:t xml:space="preserve">Level-funding for </w:t>
      </w:r>
      <w:r w:rsidR="00AB525D" w:rsidRPr="00E4373F">
        <w:rPr>
          <w:rFonts w:ascii="Times New Roman" w:hAnsi="Times New Roman"/>
          <w:sz w:val="24"/>
          <w:szCs w:val="24"/>
        </w:rPr>
        <w:t>the</w:t>
      </w:r>
      <w:r w:rsidR="000274AC" w:rsidRPr="00E4373F">
        <w:rPr>
          <w:rFonts w:ascii="Times New Roman" w:hAnsi="Times New Roman"/>
          <w:sz w:val="24"/>
          <w:szCs w:val="24"/>
        </w:rPr>
        <w:t xml:space="preserve"> </w:t>
      </w:r>
      <w:r w:rsidR="00F52148" w:rsidRPr="00E4373F">
        <w:rPr>
          <w:rFonts w:ascii="Times New Roman" w:hAnsi="Times New Roman"/>
          <w:sz w:val="24"/>
          <w:szCs w:val="24"/>
        </w:rPr>
        <w:t>F</w:t>
      </w:r>
      <w:r w:rsidR="000274AC" w:rsidRPr="00E4373F">
        <w:rPr>
          <w:rFonts w:ascii="Times New Roman" w:hAnsi="Times New Roman"/>
          <w:sz w:val="24"/>
          <w:szCs w:val="24"/>
        </w:rPr>
        <w:t>oster Care Financial Aid</w:t>
      </w:r>
      <w:r w:rsidRPr="00E4373F">
        <w:rPr>
          <w:rFonts w:ascii="Times New Roman" w:hAnsi="Times New Roman"/>
          <w:sz w:val="24"/>
          <w:szCs w:val="24"/>
        </w:rPr>
        <w:t xml:space="preserve">, </w:t>
      </w:r>
      <w:r w:rsidR="007D0481">
        <w:rPr>
          <w:rFonts w:ascii="Times New Roman" w:hAnsi="Times New Roman"/>
          <w:sz w:val="24"/>
          <w:szCs w:val="24"/>
        </w:rPr>
        <w:t>Foster Care and A</w:t>
      </w:r>
      <w:r w:rsidRPr="00E4373F">
        <w:rPr>
          <w:rFonts w:ascii="Times New Roman" w:hAnsi="Times New Roman"/>
          <w:sz w:val="24"/>
          <w:szCs w:val="24"/>
        </w:rPr>
        <w:t xml:space="preserve">dopted Fee Waiver, and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66615" w:rsidRPr="00E4373F">
        <w:rPr>
          <w:rFonts w:ascii="Times New Roman" w:hAnsi="Times New Roman"/>
          <w:sz w:val="24"/>
          <w:szCs w:val="24"/>
        </w:rPr>
        <w:t>High Demand Scholarship/Rapid Response Grant Program.</w:t>
      </w:r>
    </w:p>
    <w:p w:rsidR="007D0481" w:rsidRDefault="007D0481" w:rsidP="005D3C85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Supports a new scholarship initiative for Early Educators at $95,000 </w:t>
      </w:r>
    </w:p>
    <w:p w:rsidR="00842039" w:rsidRDefault="00842039" w:rsidP="00842039">
      <w:pPr>
        <w:pStyle w:val="NoSpacing"/>
        <w:rPr>
          <w:rFonts w:ascii="Times New Roman" w:hAnsi="Times New Roman"/>
          <w:sz w:val="24"/>
          <w:szCs w:val="24"/>
        </w:rPr>
      </w:pPr>
    </w:p>
    <w:p w:rsidR="00842039" w:rsidRDefault="00842039" w:rsidP="00842039">
      <w:pPr>
        <w:pStyle w:val="NoSpacing"/>
        <w:rPr>
          <w:rFonts w:ascii="Times New Roman" w:hAnsi="Times New Roman"/>
          <w:b/>
          <w:sz w:val="24"/>
          <w:szCs w:val="24"/>
        </w:rPr>
      </w:pPr>
      <w:r w:rsidRPr="00D6649D">
        <w:rPr>
          <w:rFonts w:ascii="Times New Roman" w:hAnsi="Times New Roman"/>
          <w:b/>
          <w:sz w:val="24"/>
          <w:szCs w:val="24"/>
        </w:rPr>
        <w:t>Workforce Coordination</w:t>
      </w:r>
    </w:p>
    <w:p w:rsidR="00842039" w:rsidRDefault="00842039" w:rsidP="00842039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Level-funding for the second year of the STEM Academy initiative for the Community Colleges at $4.75 million.</w:t>
      </w:r>
    </w:p>
    <w:p w:rsidR="00842039" w:rsidRDefault="00842039" w:rsidP="0084203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Level-funding for the administration and allocation of the Community College Workforce Training grants at $1.45 million.</w:t>
      </w:r>
    </w:p>
    <w:p w:rsidR="00842039" w:rsidRDefault="00842039" w:rsidP="0084203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Level-funding for the STEM Pipeline fund at $1.5 million.</w:t>
      </w:r>
    </w:p>
    <w:p w:rsidR="00842039" w:rsidRDefault="00842039" w:rsidP="0084203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Decreases funding for the Nursing and Allied Health Initiative from $250,000 in FY14 to $200,000 in FY15. </w:t>
      </w:r>
    </w:p>
    <w:p w:rsidR="00842039" w:rsidRDefault="00842039" w:rsidP="0084203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2039" w:rsidRDefault="00842039" w:rsidP="00842039">
      <w:pPr>
        <w:pStyle w:val="NoSpacing"/>
        <w:rPr>
          <w:rFonts w:ascii="Times New Roman" w:hAnsi="Times New Roman"/>
          <w:b/>
          <w:sz w:val="24"/>
          <w:szCs w:val="24"/>
        </w:rPr>
      </w:pPr>
      <w:r w:rsidRPr="00901249">
        <w:rPr>
          <w:rFonts w:ascii="Times New Roman" w:hAnsi="Times New Roman"/>
          <w:b/>
          <w:sz w:val="24"/>
          <w:szCs w:val="24"/>
        </w:rPr>
        <w:t>Community Colleges</w:t>
      </w:r>
    </w:p>
    <w:p w:rsidR="00842039" w:rsidRPr="00E4373F" w:rsidRDefault="00842039" w:rsidP="00842039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4373F">
        <w:rPr>
          <w:rFonts w:ascii="Times New Roman" w:hAnsi="Times New Roman"/>
          <w:sz w:val="24"/>
          <w:szCs w:val="24"/>
        </w:rPr>
        <w:t>The conference budget supports $13.2</w:t>
      </w:r>
      <w:r>
        <w:rPr>
          <w:rFonts w:ascii="Times New Roman" w:hAnsi="Times New Roman"/>
          <w:sz w:val="24"/>
          <w:szCs w:val="24"/>
        </w:rPr>
        <w:t xml:space="preserve"> million</w:t>
      </w:r>
      <w:r w:rsidRPr="00E4373F">
        <w:rPr>
          <w:rFonts w:ascii="Times New Roman" w:hAnsi="Times New Roman"/>
          <w:sz w:val="24"/>
          <w:szCs w:val="24"/>
        </w:rPr>
        <w:t xml:space="preserve"> to be allocated through the community college funding formula as developed by the DHE</w:t>
      </w:r>
      <w:r>
        <w:rPr>
          <w:rFonts w:ascii="Times New Roman" w:hAnsi="Times New Roman"/>
          <w:sz w:val="24"/>
          <w:szCs w:val="24"/>
        </w:rPr>
        <w:t>.</w:t>
      </w:r>
    </w:p>
    <w:p w:rsidR="00842039" w:rsidRDefault="00842039" w:rsidP="00842039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Funds the known </w:t>
      </w:r>
      <w:r w:rsidRPr="00E4373F">
        <w:rPr>
          <w:rFonts w:ascii="Times New Roman" w:hAnsi="Times New Roman"/>
          <w:sz w:val="24"/>
          <w:szCs w:val="24"/>
        </w:rPr>
        <w:t>collective bargain</w:t>
      </w:r>
      <w:r>
        <w:rPr>
          <w:rFonts w:ascii="Times New Roman" w:hAnsi="Times New Roman"/>
          <w:sz w:val="24"/>
          <w:szCs w:val="24"/>
        </w:rPr>
        <w:t>in</w:t>
      </w:r>
      <w:r w:rsidRPr="00E4373F">
        <w:rPr>
          <w:rFonts w:ascii="Times New Roman" w:hAnsi="Times New Roman"/>
          <w:sz w:val="24"/>
          <w:szCs w:val="24"/>
        </w:rPr>
        <w:t>g costs in the campus line-items and also provides $1.45</w:t>
      </w:r>
      <w:r>
        <w:rPr>
          <w:rFonts w:ascii="Times New Roman" w:hAnsi="Times New Roman"/>
          <w:sz w:val="24"/>
          <w:szCs w:val="24"/>
        </w:rPr>
        <w:t xml:space="preserve"> million</w:t>
      </w:r>
      <w:r w:rsidRPr="00E4373F">
        <w:rPr>
          <w:rFonts w:ascii="Times New Roman" w:hAnsi="Times New Roman"/>
          <w:sz w:val="24"/>
          <w:szCs w:val="24"/>
        </w:rPr>
        <w:t xml:space="preserve"> in a reserve for future collective bargain</w:t>
      </w:r>
      <w:r>
        <w:rPr>
          <w:rFonts w:ascii="Times New Roman" w:hAnsi="Times New Roman"/>
          <w:sz w:val="24"/>
          <w:szCs w:val="24"/>
        </w:rPr>
        <w:t>ing expenditures (costs to be determined pending ratification).</w:t>
      </w:r>
      <w:r w:rsidRPr="00E4373F">
        <w:rPr>
          <w:rFonts w:ascii="Times New Roman" w:hAnsi="Times New Roman"/>
          <w:sz w:val="24"/>
          <w:szCs w:val="24"/>
        </w:rPr>
        <w:t xml:space="preserve">  </w:t>
      </w:r>
    </w:p>
    <w:p w:rsidR="00842039" w:rsidRPr="00E4373F" w:rsidRDefault="00842039" w:rsidP="00842039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Supports a new $1.95 million initiative for the FAA-certified Airframe and Power Plant Program for Cape Cod Community College.</w:t>
      </w:r>
    </w:p>
    <w:p w:rsidR="00842039" w:rsidRDefault="00842039" w:rsidP="0084203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42039" w:rsidRPr="00901249" w:rsidRDefault="00842039" w:rsidP="0084203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Universities</w:t>
      </w:r>
    </w:p>
    <w:p w:rsidR="00842039" w:rsidRDefault="00842039" w:rsidP="0084203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conference budget supports approximately $8.1 million to be allocated to the state universities</w:t>
      </w:r>
      <w:r w:rsidR="006F20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an </w:t>
      </w:r>
      <w:r w:rsidR="008D17DD">
        <w:rPr>
          <w:rFonts w:ascii="Times New Roman" w:hAnsi="Times New Roman"/>
          <w:sz w:val="24"/>
          <w:szCs w:val="24"/>
        </w:rPr>
        <w:t xml:space="preserve">aggregate </w:t>
      </w:r>
      <w:r>
        <w:rPr>
          <w:rFonts w:ascii="Times New Roman" w:hAnsi="Times New Roman"/>
          <w:sz w:val="24"/>
          <w:szCs w:val="24"/>
        </w:rPr>
        <w:t xml:space="preserve">increase </w:t>
      </w:r>
      <w:r w:rsidR="008D17DD">
        <w:rPr>
          <w:rFonts w:ascii="Times New Roman" w:hAnsi="Times New Roman"/>
          <w:sz w:val="24"/>
          <w:szCs w:val="24"/>
        </w:rPr>
        <w:t xml:space="preserve">of 3.5% </w:t>
      </w:r>
      <w:r>
        <w:rPr>
          <w:rFonts w:ascii="Times New Roman" w:hAnsi="Times New Roman"/>
          <w:sz w:val="24"/>
          <w:szCs w:val="24"/>
        </w:rPr>
        <w:t>over FY14.</w:t>
      </w:r>
    </w:p>
    <w:p w:rsidR="00842039" w:rsidRDefault="00842039" w:rsidP="0084203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additional $100,000 is allocated for the development of a state university funding formula.</w:t>
      </w:r>
    </w:p>
    <w:p w:rsidR="00842039" w:rsidRDefault="00842039" w:rsidP="0084203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Funds $5.5 million in a reserve for future collective bargaining expenditures (costs to be determined pending ratification). </w:t>
      </w:r>
    </w:p>
    <w:p w:rsidR="00842039" w:rsidRDefault="00842039" w:rsidP="00842039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Supports a new initiative for the MetroWest Planning Center for Framingham State University and MassBay Community College. The $400,000 funding in the conference budget augments seed funding provided in FY14 from a PIF Consortium grant.</w:t>
      </w:r>
    </w:p>
    <w:p w:rsidR="00316C8B" w:rsidRDefault="00316C8B" w:rsidP="005D3C8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425A0" w:rsidRPr="00351A65" w:rsidRDefault="007425A0" w:rsidP="00CE38AA">
      <w:pPr>
        <w:pStyle w:val="NoSpacing"/>
        <w:rPr>
          <w:rFonts w:ascii="Times New Roman" w:hAnsi="Times New Roman"/>
          <w:sz w:val="24"/>
          <w:szCs w:val="24"/>
        </w:rPr>
      </w:pPr>
    </w:p>
    <w:p w:rsidR="007425A0" w:rsidRPr="00351A65" w:rsidRDefault="00F32987" w:rsidP="00CE38AA">
      <w:pPr>
        <w:pStyle w:val="NoSpacing"/>
        <w:rPr>
          <w:rFonts w:ascii="Times New Roman" w:hAnsi="Times New Roman"/>
          <w:sz w:val="24"/>
          <w:szCs w:val="24"/>
        </w:rPr>
      </w:pPr>
      <w:r w:rsidRPr="00351A65">
        <w:rPr>
          <w:rFonts w:ascii="Times New Roman" w:hAnsi="Times New Roman"/>
          <w:sz w:val="24"/>
          <w:szCs w:val="24"/>
        </w:rPr>
        <w:t xml:space="preserve">Both chambers of the legislature will vote </w:t>
      </w:r>
      <w:r w:rsidR="0023250A">
        <w:rPr>
          <w:rFonts w:ascii="Times New Roman" w:hAnsi="Times New Roman"/>
          <w:sz w:val="24"/>
          <w:szCs w:val="24"/>
        </w:rPr>
        <w:t>on</w:t>
      </w:r>
      <w:r w:rsidRPr="00351A65">
        <w:rPr>
          <w:rFonts w:ascii="Times New Roman" w:hAnsi="Times New Roman"/>
          <w:sz w:val="24"/>
          <w:szCs w:val="24"/>
        </w:rPr>
        <w:t xml:space="preserve"> the conference report</w:t>
      </w:r>
      <w:r w:rsidR="009965D7">
        <w:rPr>
          <w:rFonts w:ascii="Times New Roman" w:hAnsi="Times New Roman"/>
          <w:sz w:val="24"/>
          <w:szCs w:val="24"/>
        </w:rPr>
        <w:t xml:space="preserve"> in the coming days and</w:t>
      </w:r>
      <w:r w:rsidR="000B4657">
        <w:rPr>
          <w:rFonts w:ascii="Times New Roman" w:hAnsi="Times New Roman"/>
          <w:sz w:val="24"/>
          <w:szCs w:val="24"/>
        </w:rPr>
        <w:t>,</w:t>
      </w:r>
      <w:r w:rsidR="00963046">
        <w:rPr>
          <w:rFonts w:ascii="Times New Roman" w:hAnsi="Times New Roman"/>
          <w:sz w:val="24"/>
          <w:szCs w:val="24"/>
        </w:rPr>
        <w:t xml:space="preserve"> once approved, will </w:t>
      </w:r>
      <w:r w:rsidR="000B4657">
        <w:rPr>
          <w:rFonts w:ascii="Times New Roman" w:hAnsi="Times New Roman"/>
          <w:sz w:val="24"/>
          <w:szCs w:val="24"/>
        </w:rPr>
        <w:t>be sent to the</w:t>
      </w:r>
      <w:r w:rsidRPr="00351A65">
        <w:rPr>
          <w:rFonts w:ascii="Times New Roman" w:hAnsi="Times New Roman"/>
          <w:sz w:val="24"/>
          <w:szCs w:val="24"/>
        </w:rPr>
        <w:t xml:space="preserve"> Governo</w:t>
      </w:r>
      <w:r w:rsidR="00351A65">
        <w:rPr>
          <w:rFonts w:ascii="Times New Roman" w:hAnsi="Times New Roman"/>
          <w:sz w:val="24"/>
          <w:szCs w:val="24"/>
        </w:rPr>
        <w:t>r’s office</w:t>
      </w:r>
      <w:r w:rsidR="007708F3">
        <w:rPr>
          <w:rFonts w:ascii="Times New Roman" w:hAnsi="Times New Roman"/>
          <w:sz w:val="24"/>
          <w:szCs w:val="24"/>
        </w:rPr>
        <w:t>.  The Governor has a</w:t>
      </w:r>
      <w:r w:rsidR="006E5994">
        <w:rPr>
          <w:rFonts w:ascii="Times New Roman" w:hAnsi="Times New Roman"/>
          <w:sz w:val="24"/>
          <w:szCs w:val="24"/>
        </w:rPr>
        <w:t xml:space="preserve"> 10 day review period to </w:t>
      </w:r>
      <w:r w:rsidR="00BA638A">
        <w:rPr>
          <w:rFonts w:ascii="Times New Roman" w:hAnsi="Times New Roman"/>
          <w:sz w:val="24"/>
          <w:szCs w:val="24"/>
        </w:rPr>
        <w:t xml:space="preserve">both </w:t>
      </w:r>
      <w:r w:rsidR="000601BF">
        <w:rPr>
          <w:rFonts w:ascii="Times New Roman" w:hAnsi="Times New Roman"/>
          <w:sz w:val="24"/>
          <w:szCs w:val="24"/>
        </w:rPr>
        <w:t>submit his vetoes and sign</w:t>
      </w:r>
      <w:r w:rsidR="0023250A">
        <w:rPr>
          <w:rFonts w:ascii="Times New Roman" w:hAnsi="Times New Roman"/>
          <w:sz w:val="24"/>
          <w:szCs w:val="24"/>
        </w:rPr>
        <w:t xml:space="preserve"> the budget </w:t>
      </w:r>
      <w:r w:rsidR="00963046">
        <w:rPr>
          <w:rFonts w:ascii="Times New Roman" w:hAnsi="Times New Roman"/>
          <w:sz w:val="24"/>
          <w:szCs w:val="24"/>
        </w:rPr>
        <w:t>into law (the budget is also known as the “General Appropriations A</w:t>
      </w:r>
      <w:r w:rsidR="000601BF">
        <w:rPr>
          <w:rFonts w:ascii="Times New Roman" w:hAnsi="Times New Roman"/>
          <w:sz w:val="24"/>
          <w:szCs w:val="24"/>
        </w:rPr>
        <w:t xml:space="preserve">ct” or the “GAA”).  All vetoes </w:t>
      </w:r>
      <w:r w:rsidR="00963046">
        <w:rPr>
          <w:rFonts w:ascii="Times New Roman" w:hAnsi="Times New Roman"/>
          <w:sz w:val="24"/>
          <w:szCs w:val="24"/>
        </w:rPr>
        <w:t>can be overridden in the legislature</w:t>
      </w:r>
      <w:r w:rsidR="000601BF">
        <w:rPr>
          <w:rFonts w:ascii="Times New Roman" w:hAnsi="Times New Roman"/>
          <w:sz w:val="24"/>
          <w:szCs w:val="24"/>
        </w:rPr>
        <w:t xml:space="preserve"> with a two-thirds majority vote at</w:t>
      </w:r>
      <w:r w:rsidR="00963046">
        <w:rPr>
          <w:rFonts w:ascii="Times New Roman" w:hAnsi="Times New Roman"/>
          <w:sz w:val="24"/>
          <w:szCs w:val="24"/>
        </w:rPr>
        <w:t xml:space="preserve"> any point </w:t>
      </w:r>
      <w:r w:rsidR="000601BF">
        <w:rPr>
          <w:rFonts w:ascii="Times New Roman" w:hAnsi="Times New Roman"/>
          <w:sz w:val="24"/>
          <w:szCs w:val="24"/>
        </w:rPr>
        <w:t xml:space="preserve">during the </w:t>
      </w:r>
      <w:r w:rsidR="00963046">
        <w:rPr>
          <w:rFonts w:ascii="Times New Roman" w:hAnsi="Times New Roman"/>
          <w:sz w:val="24"/>
          <w:szCs w:val="24"/>
        </w:rPr>
        <w:t xml:space="preserve">current or upcoming </w:t>
      </w:r>
      <w:r w:rsidR="000601BF">
        <w:rPr>
          <w:rFonts w:ascii="Times New Roman" w:hAnsi="Times New Roman"/>
          <w:sz w:val="24"/>
          <w:szCs w:val="24"/>
        </w:rPr>
        <w:t xml:space="preserve">legislative </w:t>
      </w:r>
      <w:r w:rsidR="00963046">
        <w:rPr>
          <w:rFonts w:ascii="Times New Roman" w:hAnsi="Times New Roman"/>
          <w:sz w:val="24"/>
          <w:szCs w:val="24"/>
        </w:rPr>
        <w:t xml:space="preserve">session. </w:t>
      </w:r>
    </w:p>
    <w:p w:rsidR="007425A0" w:rsidRPr="00351A65" w:rsidRDefault="007425A0" w:rsidP="00CE38AA">
      <w:pPr>
        <w:pStyle w:val="NoSpacing"/>
        <w:rPr>
          <w:rFonts w:ascii="Times New Roman" w:hAnsi="Times New Roman"/>
          <w:sz w:val="24"/>
          <w:szCs w:val="24"/>
        </w:rPr>
      </w:pPr>
    </w:p>
    <w:p w:rsidR="000601BF" w:rsidRDefault="009965D7" w:rsidP="00CE38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</w:t>
      </w:r>
      <w:r w:rsidR="00257B35" w:rsidRPr="00351A65">
        <w:rPr>
          <w:rFonts w:ascii="Times New Roman" w:hAnsi="Times New Roman"/>
          <w:sz w:val="24"/>
          <w:szCs w:val="24"/>
        </w:rPr>
        <w:t>will continue to keep you updat</w:t>
      </w:r>
      <w:r w:rsidR="00963046">
        <w:rPr>
          <w:rFonts w:ascii="Times New Roman" w:hAnsi="Times New Roman"/>
          <w:sz w:val="24"/>
          <w:szCs w:val="24"/>
        </w:rPr>
        <w:t>ed if there are future developments that impact funding for public higher education</w:t>
      </w:r>
      <w:r w:rsidR="00257B35" w:rsidRPr="00351A65">
        <w:rPr>
          <w:rFonts w:ascii="Times New Roman" w:hAnsi="Times New Roman"/>
          <w:sz w:val="24"/>
          <w:szCs w:val="24"/>
        </w:rPr>
        <w:t xml:space="preserve">. </w:t>
      </w:r>
    </w:p>
    <w:p w:rsidR="000601BF" w:rsidRDefault="000601BF" w:rsidP="00CE38AA">
      <w:pPr>
        <w:pStyle w:val="NoSpacing"/>
        <w:rPr>
          <w:rFonts w:ascii="Times New Roman" w:hAnsi="Times New Roman"/>
          <w:sz w:val="24"/>
          <w:szCs w:val="24"/>
        </w:rPr>
      </w:pPr>
    </w:p>
    <w:p w:rsidR="00FF139B" w:rsidRPr="00622D03" w:rsidRDefault="00257B35" w:rsidP="00332D26">
      <w:pPr>
        <w:pStyle w:val="NoSpacing"/>
        <w:rPr>
          <w:rFonts w:ascii="Times New Roman" w:hAnsi="Times New Roman"/>
          <w:sz w:val="24"/>
          <w:szCs w:val="24"/>
        </w:rPr>
      </w:pPr>
      <w:r w:rsidRPr="00351A65">
        <w:rPr>
          <w:rFonts w:ascii="Times New Roman" w:hAnsi="Times New Roman"/>
          <w:sz w:val="24"/>
          <w:szCs w:val="24"/>
        </w:rPr>
        <w:t>Please feel free to contact me directly if you have any questions.</w:t>
      </w:r>
    </w:p>
    <w:p w:rsidR="00D10FDB" w:rsidRPr="002F3502" w:rsidRDefault="00D10FDB" w:rsidP="002F3502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sectPr w:rsidR="00D10FDB" w:rsidRPr="002F3502" w:rsidSect="0073256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95" w:rsidRDefault="00CF7B95" w:rsidP="00D87025">
      <w:r>
        <w:separator/>
      </w:r>
    </w:p>
  </w:endnote>
  <w:endnote w:type="continuationSeparator" w:id="0">
    <w:p w:rsidR="00CF7B95" w:rsidRDefault="00CF7B95" w:rsidP="00D87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95" w:rsidRDefault="00CF7B95" w:rsidP="00D87025">
      <w:r>
        <w:separator/>
      </w:r>
    </w:p>
  </w:footnote>
  <w:footnote w:type="continuationSeparator" w:id="0">
    <w:p w:rsidR="00CF7B95" w:rsidRDefault="00CF7B95" w:rsidP="00D87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580"/>
    <w:multiLevelType w:val="hybridMultilevel"/>
    <w:tmpl w:val="B436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0CD"/>
    <w:multiLevelType w:val="hybridMultilevel"/>
    <w:tmpl w:val="91784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92E5D"/>
    <w:multiLevelType w:val="hybridMultilevel"/>
    <w:tmpl w:val="B4D8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28D7"/>
    <w:multiLevelType w:val="hybridMultilevel"/>
    <w:tmpl w:val="D75A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B102F"/>
    <w:multiLevelType w:val="hybridMultilevel"/>
    <w:tmpl w:val="0852B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27621E"/>
    <w:multiLevelType w:val="hybridMultilevel"/>
    <w:tmpl w:val="D060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01F34"/>
    <w:multiLevelType w:val="hybridMultilevel"/>
    <w:tmpl w:val="A17C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77EB"/>
    <w:multiLevelType w:val="hybridMultilevel"/>
    <w:tmpl w:val="6380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779C8"/>
    <w:multiLevelType w:val="hybridMultilevel"/>
    <w:tmpl w:val="7D0A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E7336"/>
    <w:multiLevelType w:val="hybridMultilevel"/>
    <w:tmpl w:val="B49AE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B03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01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80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6A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25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C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61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49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D17FF"/>
    <w:multiLevelType w:val="hybridMultilevel"/>
    <w:tmpl w:val="76F4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FD1"/>
    <w:multiLevelType w:val="hybridMultilevel"/>
    <w:tmpl w:val="B59C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531D4"/>
    <w:multiLevelType w:val="hybridMultilevel"/>
    <w:tmpl w:val="DF72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C0AC2"/>
    <w:multiLevelType w:val="hybridMultilevel"/>
    <w:tmpl w:val="D6DE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2152E"/>
    <w:multiLevelType w:val="hybridMultilevel"/>
    <w:tmpl w:val="587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F2842"/>
    <w:multiLevelType w:val="hybridMultilevel"/>
    <w:tmpl w:val="8410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2"/>
  </w:num>
  <w:num w:numId="5">
    <w:abstractNumId w:val="13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FA"/>
    <w:rsid w:val="000230B7"/>
    <w:rsid w:val="000274AC"/>
    <w:rsid w:val="00037A4B"/>
    <w:rsid w:val="00046B1D"/>
    <w:rsid w:val="000601BF"/>
    <w:rsid w:val="00064401"/>
    <w:rsid w:val="00075E9F"/>
    <w:rsid w:val="00087C15"/>
    <w:rsid w:val="000B4657"/>
    <w:rsid w:val="000B4940"/>
    <w:rsid w:val="000C2D91"/>
    <w:rsid w:val="000C485E"/>
    <w:rsid w:val="000C63A4"/>
    <w:rsid w:val="000D4B3A"/>
    <w:rsid w:val="000D7C35"/>
    <w:rsid w:val="000F0431"/>
    <w:rsid w:val="000F4FA2"/>
    <w:rsid w:val="000F5873"/>
    <w:rsid w:val="000F7840"/>
    <w:rsid w:val="00114199"/>
    <w:rsid w:val="001422BE"/>
    <w:rsid w:val="00143627"/>
    <w:rsid w:val="0016160C"/>
    <w:rsid w:val="00172000"/>
    <w:rsid w:val="00180841"/>
    <w:rsid w:val="00182C7F"/>
    <w:rsid w:val="001A0716"/>
    <w:rsid w:val="001C2E1D"/>
    <w:rsid w:val="001F55A3"/>
    <w:rsid w:val="002244F1"/>
    <w:rsid w:val="00226922"/>
    <w:rsid w:val="0023250A"/>
    <w:rsid w:val="00246578"/>
    <w:rsid w:val="00257AB4"/>
    <w:rsid w:val="00257B35"/>
    <w:rsid w:val="00262CC5"/>
    <w:rsid w:val="0026651D"/>
    <w:rsid w:val="00266615"/>
    <w:rsid w:val="0027148A"/>
    <w:rsid w:val="002742C5"/>
    <w:rsid w:val="002753DF"/>
    <w:rsid w:val="00287D1F"/>
    <w:rsid w:val="00291E02"/>
    <w:rsid w:val="0029650D"/>
    <w:rsid w:val="002C6573"/>
    <w:rsid w:val="002D06A8"/>
    <w:rsid w:val="002D17E1"/>
    <w:rsid w:val="002D1A4F"/>
    <w:rsid w:val="002D2450"/>
    <w:rsid w:val="002D6CD9"/>
    <w:rsid w:val="002E3759"/>
    <w:rsid w:val="002F3502"/>
    <w:rsid w:val="00301691"/>
    <w:rsid w:val="003102F2"/>
    <w:rsid w:val="00311977"/>
    <w:rsid w:val="00312402"/>
    <w:rsid w:val="00314B6F"/>
    <w:rsid w:val="00316C8B"/>
    <w:rsid w:val="00322502"/>
    <w:rsid w:val="00327E2C"/>
    <w:rsid w:val="00332861"/>
    <w:rsid w:val="00332D26"/>
    <w:rsid w:val="00341D91"/>
    <w:rsid w:val="0034758F"/>
    <w:rsid w:val="00351A65"/>
    <w:rsid w:val="00383FC2"/>
    <w:rsid w:val="00386B3D"/>
    <w:rsid w:val="00393FA2"/>
    <w:rsid w:val="003A6651"/>
    <w:rsid w:val="003B6881"/>
    <w:rsid w:val="003C38B3"/>
    <w:rsid w:val="004051E5"/>
    <w:rsid w:val="00405C04"/>
    <w:rsid w:val="00433DD1"/>
    <w:rsid w:val="00470EED"/>
    <w:rsid w:val="00483C57"/>
    <w:rsid w:val="00494673"/>
    <w:rsid w:val="004974FD"/>
    <w:rsid w:val="004B1B7B"/>
    <w:rsid w:val="004C7881"/>
    <w:rsid w:val="004E5878"/>
    <w:rsid w:val="004F6510"/>
    <w:rsid w:val="004F7C04"/>
    <w:rsid w:val="00502B81"/>
    <w:rsid w:val="005036AB"/>
    <w:rsid w:val="00517B0D"/>
    <w:rsid w:val="005426A7"/>
    <w:rsid w:val="00554C20"/>
    <w:rsid w:val="005571A4"/>
    <w:rsid w:val="00586E7A"/>
    <w:rsid w:val="00591ABB"/>
    <w:rsid w:val="005B4093"/>
    <w:rsid w:val="005B5E27"/>
    <w:rsid w:val="005B5FE8"/>
    <w:rsid w:val="005D19C1"/>
    <w:rsid w:val="005D3C85"/>
    <w:rsid w:val="005D7D50"/>
    <w:rsid w:val="005E22A8"/>
    <w:rsid w:val="005E29FA"/>
    <w:rsid w:val="005E789E"/>
    <w:rsid w:val="005F016F"/>
    <w:rsid w:val="005F017B"/>
    <w:rsid w:val="00615C98"/>
    <w:rsid w:val="00622713"/>
    <w:rsid w:val="00622D03"/>
    <w:rsid w:val="00667BAB"/>
    <w:rsid w:val="00672686"/>
    <w:rsid w:val="00683848"/>
    <w:rsid w:val="00685BB2"/>
    <w:rsid w:val="00687F46"/>
    <w:rsid w:val="006929AA"/>
    <w:rsid w:val="006D31B0"/>
    <w:rsid w:val="006D49F9"/>
    <w:rsid w:val="006E5994"/>
    <w:rsid w:val="006E7A02"/>
    <w:rsid w:val="006F2072"/>
    <w:rsid w:val="006F2181"/>
    <w:rsid w:val="006F4937"/>
    <w:rsid w:val="006F793C"/>
    <w:rsid w:val="00702222"/>
    <w:rsid w:val="007101B8"/>
    <w:rsid w:val="007116B6"/>
    <w:rsid w:val="007134BD"/>
    <w:rsid w:val="00722FC1"/>
    <w:rsid w:val="00723895"/>
    <w:rsid w:val="0073256B"/>
    <w:rsid w:val="007425A0"/>
    <w:rsid w:val="007708F3"/>
    <w:rsid w:val="00775FB9"/>
    <w:rsid w:val="00782689"/>
    <w:rsid w:val="00797AA2"/>
    <w:rsid w:val="007A3AD5"/>
    <w:rsid w:val="007A735A"/>
    <w:rsid w:val="007B25D2"/>
    <w:rsid w:val="007D0481"/>
    <w:rsid w:val="007F6B39"/>
    <w:rsid w:val="008068D1"/>
    <w:rsid w:val="0080697A"/>
    <w:rsid w:val="008071CB"/>
    <w:rsid w:val="008121A6"/>
    <w:rsid w:val="0081313B"/>
    <w:rsid w:val="00842039"/>
    <w:rsid w:val="0085387D"/>
    <w:rsid w:val="00854781"/>
    <w:rsid w:val="00857FA8"/>
    <w:rsid w:val="00875BA0"/>
    <w:rsid w:val="008C3263"/>
    <w:rsid w:val="008D17DD"/>
    <w:rsid w:val="008D2BF9"/>
    <w:rsid w:val="008D3396"/>
    <w:rsid w:val="008E0805"/>
    <w:rsid w:val="008E6D7E"/>
    <w:rsid w:val="00901249"/>
    <w:rsid w:val="009028F3"/>
    <w:rsid w:val="00905AE9"/>
    <w:rsid w:val="00912FB3"/>
    <w:rsid w:val="00922C02"/>
    <w:rsid w:val="00924778"/>
    <w:rsid w:val="00931543"/>
    <w:rsid w:val="00933D07"/>
    <w:rsid w:val="00936C3E"/>
    <w:rsid w:val="00941D69"/>
    <w:rsid w:val="00941FAD"/>
    <w:rsid w:val="009534B4"/>
    <w:rsid w:val="00955D64"/>
    <w:rsid w:val="00963046"/>
    <w:rsid w:val="00972E6A"/>
    <w:rsid w:val="009752EB"/>
    <w:rsid w:val="00981288"/>
    <w:rsid w:val="009935AD"/>
    <w:rsid w:val="009965D7"/>
    <w:rsid w:val="009A2A32"/>
    <w:rsid w:val="009A7F12"/>
    <w:rsid w:val="009C005F"/>
    <w:rsid w:val="009C24F1"/>
    <w:rsid w:val="009C7E0C"/>
    <w:rsid w:val="009E190F"/>
    <w:rsid w:val="009E36FA"/>
    <w:rsid w:val="009E504D"/>
    <w:rsid w:val="009E71A0"/>
    <w:rsid w:val="00A05B33"/>
    <w:rsid w:val="00A07FAC"/>
    <w:rsid w:val="00A27096"/>
    <w:rsid w:val="00A3530D"/>
    <w:rsid w:val="00A646B5"/>
    <w:rsid w:val="00A74C1B"/>
    <w:rsid w:val="00A761DB"/>
    <w:rsid w:val="00A76D97"/>
    <w:rsid w:val="00A85774"/>
    <w:rsid w:val="00A90B51"/>
    <w:rsid w:val="00A91ECD"/>
    <w:rsid w:val="00A934E9"/>
    <w:rsid w:val="00AA49AA"/>
    <w:rsid w:val="00AB3E7A"/>
    <w:rsid w:val="00AB525D"/>
    <w:rsid w:val="00AC6B7B"/>
    <w:rsid w:val="00AC7CE9"/>
    <w:rsid w:val="00AE3147"/>
    <w:rsid w:val="00B32320"/>
    <w:rsid w:val="00B44219"/>
    <w:rsid w:val="00B46DA8"/>
    <w:rsid w:val="00B4761B"/>
    <w:rsid w:val="00B57CB5"/>
    <w:rsid w:val="00B61C9C"/>
    <w:rsid w:val="00B62EB7"/>
    <w:rsid w:val="00B73BD5"/>
    <w:rsid w:val="00B87AB1"/>
    <w:rsid w:val="00B90B88"/>
    <w:rsid w:val="00B94285"/>
    <w:rsid w:val="00BA638A"/>
    <w:rsid w:val="00BB357C"/>
    <w:rsid w:val="00BC47F6"/>
    <w:rsid w:val="00BD15B1"/>
    <w:rsid w:val="00BD167A"/>
    <w:rsid w:val="00BD4810"/>
    <w:rsid w:val="00BF0596"/>
    <w:rsid w:val="00C06E7E"/>
    <w:rsid w:val="00C10051"/>
    <w:rsid w:val="00C307E8"/>
    <w:rsid w:val="00C4419D"/>
    <w:rsid w:val="00C63546"/>
    <w:rsid w:val="00C639E0"/>
    <w:rsid w:val="00C71CCC"/>
    <w:rsid w:val="00C7286A"/>
    <w:rsid w:val="00C8095A"/>
    <w:rsid w:val="00C87B62"/>
    <w:rsid w:val="00C87E3E"/>
    <w:rsid w:val="00C95D67"/>
    <w:rsid w:val="00C97377"/>
    <w:rsid w:val="00CB2183"/>
    <w:rsid w:val="00CD4836"/>
    <w:rsid w:val="00CD72FA"/>
    <w:rsid w:val="00CE38AA"/>
    <w:rsid w:val="00CE6610"/>
    <w:rsid w:val="00CF7B95"/>
    <w:rsid w:val="00D03772"/>
    <w:rsid w:val="00D10FDB"/>
    <w:rsid w:val="00D1461F"/>
    <w:rsid w:val="00D26B45"/>
    <w:rsid w:val="00D43BA8"/>
    <w:rsid w:val="00D44AE8"/>
    <w:rsid w:val="00D453EC"/>
    <w:rsid w:val="00D54F64"/>
    <w:rsid w:val="00D60A20"/>
    <w:rsid w:val="00D64EDA"/>
    <w:rsid w:val="00D6649D"/>
    <w:rsid w:val="00D775E1"/>
    <w:rsid w:val="00D8298E"/>
    <w:rsid w:val="00D87025"/>
    <w:rsid w:val="00D875BC"/>
    <w:rsid w:val="00D91B8B"/>
    <w:rsid w:val="00DA4F64"/>
    <w:rsid w:val="00DD3187"/>
    <w:rsid w:val="00DE00A8"/>
    <w:rsid w:val="00DF1A5D"/>
    <w:rsid w:val="00E1069E"/>
    <w:rsid w:val="00E1758E"/>
    <w:rsid w:val="00E33C81"/>
    <w:rsid w:val="00E4373F"/>
    <w:rsid w:val="00E471F0"/>
    <w:rsid w:val="00E953CB"/>
    <w:rsid w:val="00EB2957"/>
    <w:rsid w:val="00EC2E66"/>
    <w:rsid w:val="00ED4447"/>
    <w:rsid w:val="00ED624F"/>
    <w:rsid w:val="00EE309D"/>
    <w:rsid w:val="00F06845"/>
    <w:rsid w:val="00F32987"/>
    <w:rsid w:val="00F52148"/>
    <w:rsid w:val="00F64B31"/>
    <w:rsid w:val="00F818B7"/>
    <w:rsid w:val="00FA5FF9"/>
    <w:rsid w:val="00FB5E43"/>
    <w:rsid w:val="00FB7E4B"/>
    <w:rsid w:val="00FC0B17"/>
    <w:rsid w:val="00FC1636"/>
    <w:rsid w:val="00FD3EB2"/>
    <w:rsid w:val="00FE4DB4"/>
    <w:rsid w:val="00FF139B"/>
    <w:rsid w:val="00FF4298"/>
    <w:rsid w:val="00FF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A8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9FA"/>
    <w:rPr>
      <w:color w:val="0000FF"/>
      <w:u w:val="single"/>
    </w:rPr>
  </w:style>
  <w:style w:type="paragraph" w:styleId="Revision">
    <w:name w:val="Revision"/>
    <w:hidden/>
    <w:uiPriority w:val="99"/>
    <w:semiHidden/>
    <w:rsid w:val="00A74C1B"/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87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02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87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025"/>
    <w:rPr>
      <w:rFonts w:ascii="Arial" w:hAnsi="Arial"/>
      <w:sz w:val="22"/>
      <w:szCs w:val="22"/>
    </w:rPr>
  </w:style>
  <w:style w:type="paragraph" w:styleId="NoSpacing">
    <w:name w:val="No Spacing"/>
    <w:uiPriority w:val="1"/>
    <w:qFormat/>
    <w:rsid w:val="005D19C1"/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A49AA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573"/>
    <w:pPr>
      <w:ind w:left="720"/>
    </w:pPr>
  </w:style>
  <w:style w:type="paragraph" w:customStyle="1" w:styleId="Default">
    <w:name w:val="Default"/>
    <w:rsid w:val="00C95D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1CA2-13A0-459C-9AD3-D423A7C7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Massachusetts Board of Higher Education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smealey</dc:creator>
  <cp:lastModifiedBy>mwoodward</cp:lastModifiedBy>
  <cp:revision>2</cp:revision>
  <cp:lastPrinted>2014-06-30T19:08:00Z</cp:lastPrinted>
  <dcterms:created xsi:type="dcterms:W3CDTF">2014-08-18T19:53:00Z</dcterms:created>
  <dcterms:modified xsi:type="dcterms:W3CDTF">2014-08-18T19:53:00Z</dcterms:modified>
</cp:coreProperties>
</file>